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803C" w14:textId="060F2046" w:rsidR="00193FF8" w:rsidRDefault="00000FDC" w:rsidP="00193FF8">
      <w:pPr>
        <w:tabs>
          <w:tab w:val="left" w:pos="360"/>
        </w:tabs>
        <w:spacing w:after="0"/>
        <w:contextualSpacing/>
        <w:rPr>
          <w:rFonts w:asciiTheme="majorHAnsi" w:hAnsiTheme="majorHAnsi" w:cstheme="majorHAnsi"/>
          <w:b/>
          <w:bCs/>
          <w:color w:val="0070C0"/>
          <w:szCs w:val="24"/>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3E296AE8" w14:textId="6282182E" w:rsidR="00AE4F61" w:rsidRPr="00CB0634" w:rsidRDefault="003208A2"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 xml:space="preserve">PROPUNERE DE HOTĂRÂRE </w:t>
      </w:r>
      <w:r w:rsidR="00AE4F61" w:rsidRPr="00CB0634">
        <w:rPr>
          <w:rFonts w:asciiTheme="majorHAnsi" w:hAnsiTheme="majorHAnsi" w:cstheme="majorHAnsi"/>
          <w:b/>
          <w:bCs/>
          <w:color w:val="000000" w:themeColor="text1"/>
          <w:szCs w:val="24"/>
        </w:rPr>
        <w:t xml:space="preserve">A ADUNĂRII GENERALE ORDINARE A ACȚIONARILOR </w:t>
      </w:r>
    </w:p>
    <w:p w14:paraId="52D07842" w14:textId="33E67F9E" w:rsidR="00193FF8" w:rsidRPr="00CB0634" w:rsidRDefault="00AE4F61"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CHROMOSOME DYNAMICS S.A.</w:t>
      </w:r>
    </w:p>
    <w:p w14:paraId="2CBAA13F" w14:textId="66BA8B68" w:rsidR="003208A2" w:rsidRPr="00CB0634" w:rsidRDefault="003208A2" w:rsidP="00193FF8">
      <w:pPr>
        <w:tabs>
          <w:tab w:val="left" w:pos="0"/>
        </w:tabs>
        <w:spacing w:after="0"/>
        <w:contextualSpacing/>
        <w:jc w:val="center"/>
        <w:rPr>
          <w:rFonts w:asciiTheme="majorHAnsi" w:hAnsiTheme="majorHAnsi" w:cstheme="majorHAnsi"/>
          <w:b/>
          <w:bCs/>
          <w:color w:val="0070C0"/>
          <w:szCs w:val="24"/>
        </w:rPr>
      </w:pPr>
      <w:r w:rsidRPr="00CB0634">
        <w:rPr>
          <w:rFonts w:asciiTheme="majorHAnsi" w:hAnsiTheme="majorHAnsi" w:cstheme="majorHAnsi"/>
          <w:b/>
          <w:bCs/>
          <w:color w:val="000000" w:themeColor="text1"/>
          <w:szCs w:val="24"/>
        </w:rPr>
        <w:t>NR. ____/_____________</w:t>
      </w:r>
    </w:p>
    <w:p w14:paraId="45D3A47F" w14:textId="1F607D6F" w:rsidR="00CF0F1A" w:rsidRPr="00CB0634" w:rsidRDefault="00CF0F1A" w:rsidP="00C20BDB">
      <w:pPr>
        <w:tabs>
          <w:tab w:val="left" w:pos="0"/>
        </w:tabs>
        <w:spacing w:after="0"/>
        <w:ind w:right="900"/>
        <w:contextualSpacing/>
        <w:jc w:val="center"/>
        <w:rPr>
          <w:rFonts w:asciiTheme="majorHAnsi" w:hAnsiTheme="majorHAnsi" w:cstheme="majorHAnsi"/>
          <w:b/>
          <w:bCs/>
          <w:color w:val="0070C0"/>
          <w:szCs w:val="24"/>
        </w:rPr>
      </w:pPr>
    </w:p>
    <w:p w14:paraId="53B8D368" w14:textId="77777777" w:rsidR="00193FF8" w:rsidRPr="00CB0634" w:rsidRDefault="00193FF8" w:rsidP="00C20BDB">
      <w:pPr>
        <w:tabs>
          <w:tab w:val="left" w:pos="0"/>
        </w:tabs>
        <w:spacing w:after="0"/>
        <w:ind w:right="900"/>
        <w:contextualSpacing/>
        <w:jc w:val="center"/>
        <w:rPr>
          <w:rFonts w:asciiTheme="majorHAnsi" w:hAnsiTheme="majorHAnsi" w:cstheme="majorHAnsi"/>
          <w:b/>
          <w:bCs/>
          <w:color w:val="0070C0"/>
          <w:szCs w:val="24"/>
        </w:rPr>
      </w:pPr>
    </w:p>
    <w:p w14:paraId="5E50A3B0" w14:textId="56A48F1F" w:rsidR="000D5664" w:rsidRPr="00CB0634" w:rsidRDefault="000D5664" w:rsidP="00CF0F1A">
      <w:pPr>
        <w:tabs>
          <w:tab w:val="left" w:pos="360"/>
        </w:tabs>
        <w:spacing w:after="0"/>
        <w:rPr>
          <w:rFonts w:asciiTheme="majorHAnsi" w:hAnsiTheme="majorHAnsi" w:cstheme="majorHAnsi"/>
          <w:szCs w:val="24"/>
        </w:rPr>
      </w:pPr>
    </w:p>
    <w:p w14:paraId="2289993D" w14:textId="77777777" w:rsidR="003208A2" w:rsidRPr="00CB0634" w:rsidRDefault="00AE4F61"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 xml:space="preserve">Adunarea Generală Ordinară a Acționarilor </w:t>
      </w:r>
      <w:r w:rsidRPr="00CB0634">
        <w:rPr>
          <w:rFonts w:asciiTheme="majorHAnsi" w:hAnsiTheme="majorHAnsi" w:cstheme="majorHAnsi"/>
          <w:b/>
          <w:bCs/>
          <w:szCs w:val="24"/>
        </w:rPr>
        <w:t xml:space="preserve">(AGOA) </w:t>
      </w:r>
      <w:r w:rsidRPr="00CB0634">
        <w:rPr>
          <w:rFonts w:asciiTheme="majorHAnsi" w:hAnsiTheme="majorHAnsi" w:cstheme="majorHAnsi"/>
          <w:szCs w:val="24"/>
        </w:rPr>
        <w:t xml:space="preserve">societății </w:t>
      </w:r>
      <w:r w:rsidR="00C20BDB" w:rsidRPr="00CB0634">
        <w:rPr>
          <w:rFonts w:asciiTheme="majorHAnsi" w:hAnsiTheme="majorHAnsi" w:cstheme="majorHAnsi"/>
          <w:szCs w:val="24"/>
        </w:rPr>
        <w:t>CHROMOSOME DYNAMICS S.A., societate cu sediul social în București, Drumul Valea Furcii nr. 156-158, bloc C1, etaj 4, ap. 24, sector 6, și adresa de corespondența la sediul secundar din București, Bulevardul Iuliu Maniu, nr. 6L, clădirea Campus 6.1, etaj 2, birou 246, sector 6, înregistrată la ONRC sub nr. J40/1800/2020, CIF RO42234198, având un capital social subscris și vărsat de 122.491,8 lei (Societatea)</w:t>
      </w:r>
      <w:r w:rsidR="003208A2" w:rsidRPr="00CB0634">
        <w:rPr>
          <w:rFonts w:asciiTheme="majorHAnsi" w:hAnsiTheme="majorHAnsi" w:cstheme="majorHAnsi"/>
          <w:szCs w:val="24"/>
        </w:rPr>
        <w:t>,</w:t>
      </w:r>
    </w:p>
    <w:p w14:paraId="44E71C58" w14:textId="0796D73B" w:rsidR="003208A2" w:rsidRPr="00CB0634" w:rsidRDefault="003208A2"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 xml:space="preserve">întrunită legal și statutar la </w:t>
      </w:r>
      <w:r w:rsidRPr="00CB0634">
        <w:rPr>
          <w:rFonts w:asciiTheme="majorHAnsi" w:hAnsiTheme="majorHAnsi" w:cstheme="majorHAnsi"/>
          <w:szCs w:val="24"/>
          <w:lang w:val="en-US"/>
        </w:rPr>
        <w:t>[</w:t>
      </w:r>
      <w:r w:rsidRPr="00CB0634">
        <w:rPr>
          <w:rFonts w:asciiTheme="majorHAnsi" w:hAnsiTheme="majorHAnsi" w:cstheme="majorHAnsi"/>
          <w:szCs w:val="24"/>
        </w:rPr>
        <w:t xml:space="preserve">prima convocare] [cea de a doua] convocare din data </w:t>
      </w:r>
      <w:r w:rsidRPr="00CB0634">
        <w:rPr>
          <w:rFonts w:asciiTheme="majorHAnsi" w:hAnsiTheme="majorHAnsi" w:cstheme="majorHAnsi"/>
          <w:b/>
          <w:bCs/>
          <w:szCs w:val="24"/>
        </w:rPr>
        <w:t xml:space="preserve">de </w:t>
      </w:r>
      <w:r w:rsidR="00FF79F2">
        <w:rPr>
          <w:rFonts w:asciiTheme="majorHAnsi" w:hAnsiTheme="majorHAnsi" w:cstheme="majorHAnsi"/>
          <w:b/>
          <w:bCs/>
          <w:szCs w:val="24"/>
        </w:rPr>
        <w:t>[</w:t>
      </w:r>
      <w:r w:rsidR="00FF79F2" w:rsidRPr="00CB0634">
        <w:rPr>
          <w:rFonts w:asciiTheme="majorHAnsi" w:hAnsiTheme="majorHAnsi" w:cstheme="majorHAnsi"/>
          <w:b/>
          <w:bCs/>
          <w:szCs w:val="24"/>
        </w:rPr>
        <w:t>26</w:t>
      </w:r>
      <w:r w:rsidR="00FF79F2">
        <w:rPr>
          <w:rFonts w:asciiTheme="majorHAnsi" w:hAnsiTheme="majorHAnsi" w:cstheme="majorHAnsi"/>
          <w:b/>
          <w:bCs/>
          <w:szCs w:val="24"/>
        </w:rPr>
        <w:t xml:space="preserve"> ]/[27]</w:t>
      </w:r>
      <w:r w:rsidR="00FF79F2">
        <w:rPr>
          <w:rFonts w:asciiTheme="majorHAnsi" w:hAnsiTheme="majorHAnsi" w:cstheme="majorHAnsi"/>
          <w:b/>
          <w:bCs/>
          <w:szCs w:val="24"/>
        </w:rPr>
        <w:t xml:space="preserve"> </w:t>
      </w:r>
      <w:r w:rsidRPr="00CB0634">
        <w:rPr>
          <w:rFonts w:asciiTheme="majorHAnsi" w:hAnsiTheme="majorHAnsi" w:cstheme="majorHAnsi"/>
          <w:b/>
          <w:bCs/>
          <w:szCs w:val="24"/>
        </w:rPr>
        <w:t>aprilie 2023, ora 10:00</w:t>
      </w:r>
      <w:r w:rsidRPr="00CB0634">
        <w:rPr>
          <w:rFonts w:asciiTheme="majorHAnsi" w:hAnsiTheme="majorHAnsi" w:cstheme="majorHAnsi"/>
          <w:szCs w:val="24"/>
        </w:rPr>
        <w:t>, la adresa sediului secundar din București, Bulevardul Iuliu Maniu, nr. 6L, clădirea Campus 6.1, etaj 2, birou 242, sector 6,</w:t>
      </w:r>
    </w:p>
    <w:p w14:paraId="77BC252F" w14:textId="1859B7A6" w:rsidR="003208A2" w:rsidRPr="00CB0634" w:rsidRDefault="003208A2"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în conformitate cu prevederile Legii societăților nr. 31/1990 republicată, cu modificările și completările ulterioare, ale actului constitutiv, ale Legii 24/2017 privind emitenții de instrumente financiare și operațiuni de piață republicate, ale Regulamentului ASF nr. 5/2018 privind emitenții de instrumente financiare și operațiuni de piață cu modificările și completările ulterioare,</w:t>
      </w:r>
    </w:p>
    <w:p w14:paraId="43DDD1DD" w14:textId="1167CB38"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 xml:space="preserve">cu participarea directă, prin reprezentare sau prin vot prin corespondență a acționarilor reprezentând </w:t>
      </w:r>
      <w:r w:rsidRPr="00CB0634">
        <w:rPr>
          <w:rFonts w:asciiTheme="majorHAnsi" w:hAnsiTheme="majorHAnsi" w:cstheme="majorHAnsi"/>
          <w:spacing w:val="-1"/>
          <w:szCs w:val="24"/>
        </w:rPr>
        <w:t>[●]</w:t>
      </w:r>
      <w:r w:rsidRPr="00CB0634">
        <w:rPr>
          <w:rFonts w:asciiTheme="majorHAnsi" w:hAnsiTheme="majorHAnsi" w:cstheme="majorHAnsi"/>
          <w:szCs w:val="24"/>
        </w:rPr>
        <w:t xml:space="preserve">% din capitalul social, respectiv deținând un număr de </w:t>
      </w:r>
      <w:r w:rsidRPr="00CB0634">
        <w:rPr>
          <w:rFonts w:asciiTheme="majorHAnsi" w:hAnsiTheme="majorHAnsi" w:cstheme="majorHAnsi"/>
          <w:spacing w:val="-1"/>
          <w:szCs w:val="24"/>
        </w:rPr>
        <w:t xml:space="preserve">[●] acțiuni și [●] drepturi de vot, respectiv [●] % din numărul total de drepturi de vot, </w:t>
      </w:r>
      <w:r w:rsidR="00C20BDB" w:rsidRPr="00CB0634">
        <w:rPr>
          <w:rFonts w:asciiTheme="majorHAnsi" w:hAnsiTheme="majorHAnsi" w:cstheme="majorHAnsi"/>
          <w:szCs w:val="24"/>
        </w:rPr>
        <w:t xml:space="preserve"> </w:t>
      </w:r>
    </w:p>
    <w:p w14:paraId="49444BB6" w14:textId="77777777" w:rsidR="003208A2" w:rsidRPr="00CB0634" w:rsidRDefault="003208A2" w:rsidP="00CF0F1A">
      <w:pPr>
        <w:tabs>
          <w:tab w:val="left" w:pos="360"/>
        </w:tabs>
        <w:spacing w:after="0"/>
        <w:jc w:val="both"/>
        <w:rPr>
          <w:rFonts w:asciiTheme="majorHAnsi" w:hAnsiTheme="majorHAnsi" w:cstheme="majorHAnsi"/>
          <w:szCs w:val="24"/>
        </w:rPr>
      </w:pPr>
    </w:p>
    <w:p w14:paraId="5D473D02" w14:textId="77777777" w:rsidR="003208A2" w:rsidRPr="00CB0634" w:rsidRDefault="003208A2" w:rsidP="003208A2">
      <w:pPr>
        <w:widowControl w:val="0"/>
        <w:spacing w:after="0" w:line="240" w:lineRule="auto"/>
        <w:jc w:val="center"/>
        <w:outlineLvl w:val="0"/>
        <w:rPr>
          <w:rFonts w:asciiTheme="majorHAnsi" w:eastAsia="Times New Roman" w:hAnsiTheme="majorHAnsi" w:cstheme="majorHAnsi"/>
          <w:szCs w:val="24"/>
        </w:rPr>
      </w:pPr>
      <w:r w:rsidRPr="00CB0634">
        <w:rPr>
          <w:rFonts w:asciiTheme="majorHAnsi" w:eastAsia="Times New Roman" w:hAnsiTheme="majorHAnsi" w:cstheme="majorHAnsi"/>
          <w:b/>
          <w:bCs/>
          <w:spacing w:val="-1"/>
          <w:szCs w:val="24"/>
        </w:rPr>
        <w:t>HOTĂRĂŞTE</w:t>
      </w:r>
    </w:p>
    <w:p w14:paraId="5370F948" w14:textId="77777777" w:rsidR="003208A2" w:rsidRPr="00CB0634" w:rsidRDefault="003208A2" w:rsidP="00CF0F1A">
      <w:pPr>
        <w:tabs>
          <w:tab w:val="left" w:pos="360"/>
        </w:tabs>
        <w:spacing w:after="0"/>
        <w:jc w:val="both"/>
        <w:rPr>
          <w:rFonts w:asciiTheme="majorHAnsi" w:hAnsiTheme="majorHAnsi" w:cstheme="majorHAnsi"/>
          <w:szCs w:val="24"/>
        </w:rPr>
      </w:pPr>
    </w:p>
    <w:p w14:paraId="6BC3E137" w14:textId="12DECF09"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Art. 1. Se aprobă situațiile financiare ale Societății la 31.12.2022, pe baza rapoartelor Administratorului Unic și al Auditorului financiar al Societății.</w:t>
      </w:r>
    </w:p>
    <w:p w14:paraId="08B934A9" w14:textId="4F4C42B8" w:rsidR="003208A2" w:rsidRPr="00CB0634" w:rsidRDefault="003208A2" w:rsidP="00CF0F1A">
      <w:pPr>
        <w:tabs>
          <w:tab w:val="left" w:pos="360"/>
        </w:tabs>
        <w:spacing w:after="0"/>
        <w:jc w:val="both"/>
        <w:rPr>
          <w:rFonts w:asciiTheme="majorHAnsi" w:hAnsiTheme="majorHAnsi" w:cstheme="majorHAnsi"/>
          <w:szCs w:val="24"/>
        </w:rPr>
      </w:pPr>
    </w:p>
    <w:p w14:paraId="4451E4E9" w14:textId="77777777" w:rsidR="004B1E3A" w:rsidRPr="00CB0634" w:rsidRDefault="004B1E3A" w:rsidP="004B1E3A">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7D236504" w14:textId="51E75452" w:rsidR="003208A2" w:rsidRPr="00CB0634" w:rsidRDefault="003208A2" w:rsidP="00CF0F1A">
      <w:pPr>
        <w:tabs>
          <w:tab w:val="left" w:pos="360"/>
        </w:tabs>
        <w:spacing w:after="0"/>
        <w:jc w:val="both"/>
        <w:rPr>
          <w:rFonts w:asciiTheme="majorHAnsi" w:hAnsiTheme="majorHAnsi" w:cstheme="majorHAnsi"/>
          <w:szCs w:val="24"/>
        </w:rPr>
      </w:pPr>
    </w:p>
    <w:p w14:paraId="6D9A03A2" w14:textId="77777777" w:rsidR="00CB0634" w:rsidRDefault="00CB0634" w:rsidP="00CF0F1A">
      <w:pPr>
        <w:tabs>
          <w:tab w:val="left" w:pos="360"/>
        </w:tabs>
        <w:spacing w:after="0"/>
        <w:jc w:val="both"/>
        <w:rPr>
          <w:rFonts w:asciiTheme="majorHAnsi" w:hAnsiTheme="majorHAnsi" w:cstheme="majorHAnsi"/>
          <w:szCs w:val="24"/>
        </w:rPr>
      </w:pPr>
    </w:p>
    <w:p w14:paraId="7A5EE96B" w14:textId="77777777" w:rsidR="00CB0634" w:rsidRDefault="00CB0634" w:rsidP="00CF0F1A">
      <w:pPr>
        <w:tabs>
          <w:tab w:val="left" w:pos="360"/>
        </w:tabs>
        <w:spacing w:after="0"/>
        <w:jc w:val="both"/>
        <w:rPr>
          <w:rFonts w:asciiTheme="majorHAnsi" w:hAnsiTheme="majorHAnsi" w:cstheme="majorHAnsi"/>
          <w:szCs w:val="24"/>
        </w:rPr>
      </w:pPr>
    </w:p>
    <w:p w14:paraId="432DED32" w14:textId="77777777" w:rsidR="00CB0634" w:rsidRDefault="00CB0634" w:rsidP="00CF0F1A">
      <w:pPr>
        <w:tabs>
          <w:tab w:val="left" w:pos="360"/>
        </w:tabs>
        <w:spacing w:after="0"/>
        <w:jc w:val="both"/>
        <w:rPr>
          <w:rFonts w:asciiTheme="majorHAnsi" w:hAnsiTheme="majorHAnsi" w:cstheme="majorHAnsi"/>
          <w:szCs w:val="24"/>
        </w:rPr>
      </w:pPr>
    </w:p>
    <w:p w14:paraId="71499C5E" w14:textId="77777777" w:rsidR="00CB0634" w:rsidRDefault="00CB0634" w:rsidP="00CF0F1A">
      <w:pPr>
        <w:tabs>
          <w:tab w:val="left" w:pos="360"/>
        </w:tabs>
        <w:spacing w:after="0"/>
        <w:jc w:val="both"/>
        <w:rPr>
          <w:rFonts w:asciiTheme="majorHAnsi" w:hAnsiTheme="majorHAnsi" w:cstheme="majorHAnsi"/>
          <w:szCs w:val="24"/>
        </w:rPr>
      </w:pPr>
    </w:p>
    <w:p w14:paraId="26F93635" w14:textId="77777777" w:rsidR="00CB0634" w:rsidRDefault="00CB0634" w:rsidP="00CF0F1A">
      <w:pPr>
        <w:tabs>
          <w:tab w:val="left" w:pos="360"/>
        </w:tabs>
        <w:spacing w:after="0"/>
        <w:jc w:val="both"/>
        <w:rPr>
          <w:rFonts w:asciiTheme="majorHAnsi" w:hAnsiTheme="majorHAnsi" w:cstheme="majorHAnsi"/>
          <w:szCs w:val="24"/>
        </w:rPr>
      </w:pPr>
    </w:p>
    <w:p w14:paraId="329AB005" w14:textId="3000BA56"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Art. 2. Se aprobă descărcarea de gestiune a Administratorului Unic pentru exercițiul financiar 2022.</w:t>
      </w:r>
    </w:p>
    <w:p w14:paraId="5AB9EC73" w14:textId="29B0E4BA" w:rsidR="003208A2" w:rsidRPr="00CB0634" w:rsidRDefault="003208A2" w:rsidP="00CF0F1A">
      <w:pPr>
        <w:tabs>
          <w:tab w:val="left" w:pos="360"/>
        </w:tabs>
        <w:spacing w:after="0"/>
        <w:jc w:val="both"/>
        <w:rPr>
          <w:rFonts w:asciiTheme="majorHAnsi" w:hAnsiTheme="majorHAnsi" w:cstheme="majorHAnsi"/>
          <w:szCs w:val="24"/>
        </w:rPr>
      </w:pPr>
    </w:p>
    <w:p w14:paraId="6CDE437E" w14:textId="77777777" w:rsidR="004B1E3A" w:rsidRPr="00CB0634" w:rsidRDefault="004B1E3A" w:rsidP="004B1E3A">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02436B19" w14:textId="6F70420C" w:rsidR="003208A2" w:rsidRPr="00CB0634" w:rsidRDefault="003208A2" w:rsidP="00CF0F1A">
      <w:pPr>
        <w:tabs>
          <w:tab w:val="left" w:pos="360"/>
        </w:tabs>
        <w:spacing w:after="0"/>
        <w:jc w:val="both"/>
        <w:rPr>
          <w:rFonts w:asciiTheme="majorHAnsi" w:hAnsiTheme="majorHAnsi" w:cstheme="majorHAnsi"/>
          <w:szCs w:val="24"/>
        </w:rPr>
      </w:pPr>
    </w:p>
    <w:p w14:paraId="40A2A765" w14:textId="5C1C6E77" w:rsidR="003208A2"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Art. 3. Se aprobă distribuirea profitului aferent exercițiului financiar 2022, conform propunerii Administratorului Unic.</w:t>
      </w:r>
    </w:p>
    <w:p w14:paraId="49C6A43F" w14:textId="77777777" w:rsidR="00CB0634" w:rsidRPr="00CB0634" w:rsidRDefault="00CB0634" w:rsidP="00CF0F1A">
      <w:pPr>
        <w:tabs>
          <w:tab w:val="left" w:pos="360"/>
        </w:tabs>
        <w:spacing w:after="0"/>
        <w:jc w:val="both"/>
        <w:rPr>
          <w:rFonts w:asciiTheme="majorHAnsi" w:hAnsiTheme="majorHAnsi" w:cstheme="majorHAnsi"/>
          <w:szCs w:val="24"/>
        </w:rPr>
      </w:pPr>
    </w:p>
    <w:p w14:paraId="09EAFE2B" w14:textId="77777777" w:rsidR="004B1E3A" w:rsidRPr="00CB0634" w:rsidRDefault="004B1E3A" w:rsidP="004B1E3A">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58E3BAAA" w14:textId="337CEB84" w:rsidR="003208A2" w:rsidRPr="00CB0634" w:rsidRDefault="003208A2" w:rsidP="00CF0F1A">
      <w:pPr>
        <w:tabs>
          <w:tab w:val="left" w:pos="360"/>
        </w:tabs>
        <w:spacing w:after="0"/>
        <w:jc w:val="both"/>
        <w:rPr>
          <w:rFonts w:asciiTheme="majorHAnsi" w:hAnsiTheme="majorHAnsi" w:cstheme="majorHAnsi"/>
          <w:szCs w:val="24"/>
        </w:rPr>
      </w:pPr>
    </w:p>
    <w:p w14:paraId="5A640609" w14:textId="4A48745D" w:rsidR="003208A2" w:rsidRPr="00CB0634" w:rsidRDefault="003208A2" w:rsidP="00CF0F1A">
      <w:pPr>
        <w:tabs>
          <w:tab w:val="left" w:pos="360"/>
        </w:tabs>
        <w:spacing w:after="0"/>
        <w:jc w:val="both"/>
        <w:rPr>
          <w:rFonts w:asciiTheme="majorHAnsi" w:hAnsiTheme="majorHAnsi" w:cstheme="majorHAnsi"/>
          <w:szCs w:val="24"/>
        </w:rPr>
      </w:pPr>
    </w:p>
    <w:p w14:paraId="58A4FF9B" w14:textId="6497D6A2" w:rsidR="003208A2"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Art. 4. Se aprobă Bugetul de venituri și cheltuieli pentru exercițiul financiar 2023.</w:t>
      </w:r>
    </w:p>
    <w:p w14:paraId="3011E536" w14:textId="399312B9" w:rsidR="00CB0634" w:rsidRDefault="00CB0634" w:rsidP="00CF0F1A">
      <w:pPr>
        <w:tabs>
          <w:tab w:val="left" w:pos="360"/>
        </w:tabs>
        <w:spacing w:after="0"/>
        <w:jc w:val="both"/>
        <w:rPr>
          <w:rFonts w:asciiTheme="majorHAnsi" w:hAnsiTheme="majorHAnsi" w:cstheme="majorHAnsi"/>
          <w:szCs w:val="24"/>
        </w:rPr>
      </w:pPr>
    </w:p>
    <w:p w14:paraId="41B9608E" w14:textId="77777777" w:rsidR="004B1E3A" w:rsidRPr="00CB0634" w:rsidRDefault="004B1E3A" w:rsidP="004B1E3A">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5A420F55" w14:textId="77777777" w:rsidR="00CB0634" w:rsidRPr="00CB0634" w:rsidRDefault="00CB0634" w:rsidP="00CF0F1A">
      <w:pPr>
        <w:tabs>
          <w:tab w:val="left" w:pos="360"/>
        </w:tabs>
        <w:spacing w:after="0"/>
        <w:jc w:val="both"/>
        <w:rPr>
          <w:rFonts w:asciiTheme="majorHAnsi" w:hAnsiTheme="majorHAnsi" w:cstheme="majorHAnsi"/>
          <w:szCs w:val="24"/>
        </w:rPr>
      </w:pPr>
    </w:p>
    <w:p w14:paraId="3F38F991" w14:textId="07CB149C" w:rsidR="003208A2" w:rsidRPr="00CB0634" w:rsidRDefault="003208A2" w:rsidP="00CF0F1A">
      <w:pPr>
        <w:tabs>
          <w:tab w:val="left" w:pos="360"/>
        </w:tabs>
        <w:spacing w:after="0"/>
        <w:jc w:val="both"/>
        <w:rPr>
          <w:rFonts w:asciiTheme="majorHAnsi" w:hAnsiTheme="majorHAnsi" w:cstheme="majorHAnsi"/>
          <w:szCs w:val="24"/>
        </w:rPr>
      </w:pPr>
    </w:p>
    <w:p w14:paraId="14E24B7D" w14:textId="2D1FCF3E"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Art. 5. Se aprobă fixarea remunerației Administratorului unic pentru exercițiul financiar 2023 la nivelul de 10.000 lei lunar net.</w:t>
      </w:r>
    </w:p>
    <w:p w14:paraId="385E532B" w14:textId="16CD854F" w:rsidR="00CB0634" w:rsidRDefault="00CB0634" w:rsidP="00CF0F1A">
      <w:pPr>
        <w:tabs>
          <w:tab w:val="left" w:pos="360"/>
        </w:tabs>
        <w:spacing w:after="0"/>
        <w:jc w:val="both"/>
        <w:rPr>
          <w:rFonts w:asciiTheme="majorHAnsi" w:hAnsiTheme="majorHAnsi" w:cstheme="majorHAnsi"/>
          <w:szCs w:val="24"/>
        </w:rPr>
      </w:pPr>
    </w:p>
    <w:p w14:paraId="20542F30" w14:textId="77777777" w:rsidR="004B1E3A" w:rsidRPr="00CB0634" w:rsidRDefault="004B1E3A" w:rsidP="004B1E3A">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657FD7BA" w14:textId="77777777" w:rsidR="00CB0634" w:rsidRPr="00CB0634" w:rsidRDefault="00CB0634" w:rsidP="00CF0F1A">
      <w:pPr>
        <w:tabs>
          <w:tab w:val="left" w:pos="360"/>
        </w:tabs>
        <w:spacing w:after="0"/>
        <w:jc w:val="both"/>
        <w:rPr>
          <w:rFonts w:asciiTheme="majorHAnsi" w:hAnsiTheme="majorHAnsi" w:cstheme="majorHAnsi"/>
          <w:szCs w:val="24"/>
        </w:rPr>
      </w:pPr>
    </w:p>
    <w:p w14:paraId="1E62A405" w14:textId="493B0D10" w:rsidR="00CB0634" w:rsidRPr="00CB0634" w:rsidRDefault="00CB0634" w:rsidP="00CF0F1A">
      <w:pPr>
        <w:tabs>
          <w:tab w:val="left" w:pos="360"/>
        </w:tabs>
        <w:spacing w:after="0"/>
        <w:jc w:val="both"/>
        <w:rPr>
          <w:rFonts w:asciiTheme="majorHAnsi" w:hAnsiTheme="majorHAnsi" w:cstheme="majorHAnsi"/>
          <w:szCs w:val="24"/>
        </w:rPr>
      </w:pPr>
    </w:p>
    <w:p w14:paraId="263FBA2F" w14:textId="77777777" w:rsidR="00CB0634" w:rsidRPr="00CB0634" w:rsidRDefault="00CB0634" w:rsidP="00CF0F1A">
      <w:pPr>
        <w:tabs>
          <w:tab w:val="left" w:pos="360"/>
        </w:tabs>
        <w:spacing w:after="0"/>
        <w:jc w:val="both"/>
        <w:rPr>
          <w:rFonts w:asciiTheme="majorHAnsi" w:hAnsiTheme="majorHAnsi" w:cstheme="majorHAnsi"/>
        </w:rPr>
      </w:pPr>
    </w:p>
    <w:p w14:paraId="437F6460" w14:textId="093A8D1F" w:rsidR="00CB0634" w:rsidRPr="00CB0634" w:rsidRDefault="00CB0634" w:rsidP="00CF0F1A">
      <w:pPr>
        <w:tabs>
          <w:tab w:val="left" w:pos="360"/>
        </w:tabs>
        <w:spacing w:after="0"/>
        <w:jc w:val="both"/>
        <w:rPr>
          <w:rFonts w:asciiTheme="majorHAnsi" w:hAnsiTheme="majorHAnsi" w:cstheme="majorHAnsi"/>
        </w:rPr>
      </w:pPr>
    </w:p>
    <w:p w14:paraId="2644945D" w14:textId="46253C60" w:rsidR="00CB0634" w:rsidRPr="00CB0634" w:rsidRDefault="00CB0634" w:rsidP="00CF0F1A">
      <w:pPr>
        <w:tabs>
          <w:tab w:val="left" w:pos="360"/>
        </w:tabs>
        <w:spacing w:after="0"/>
        <w:jc w:val="both"/>
        <w:rPr>
          <w:rFonts w:asciiTheme="majorHAnsi" w:hAnsiTheme="majorHAnsi" w:cstheme="majorHAnsi"/>
        </w:rPr>
      </w:pPr>
      <w:bookmarkStart w:id="0" w:name="_Hlk130463526"/>
      <w:r w:rsidRPr="00CB0634">
        <w:rPr>
          <w:rFonts w:asciiTheme="majorHAnsi" w:hAnsiTheme="majorHAnsi" w:cstheme="majorHAnsi"/>
        </w:rPr>
        <w:t xml:space="preserve">Art. </w:t>
      </w:r>
      <w:r w:rsidR="00B143E7">
        <w:rPr>
          <w:rFonts w:asciiTheme="majorHAnsi" w:hAnsiTheme="majorHAnsi" w:cstheme="majorHAnsi"/>
        </w:rPr>
        <w:t>6</w:t>
      </w:r>
      <w:r w:rsidRPr="00CB0634">
        <w:rPr>
          <w:rFonts w:asciiTheme="majorHAnsi" w:hAnsiTheme="majorHAnsi" w:cstheme="majorHAnsi"/>
        </w:rPr>
        <w:t xml:space="preserve">. Se aprobă data de 17 mai 2023 ca </w:t>
      </w:r>
      <w:r w:rsidRPr="00CB0634">
        <w:rPr>
          <w:rFonts w:asciiTheme="majorHAnsi" w:hAnsiTheme="majorHAnsi" w:cstheme="majorHAnsi"/>
          <w:b/>
          <w:bCs/>
        </w:rPr>
        <w:t>dată de înregistrare</w:t>
      </w:r>
      <w:r w:rsidRPr="00CB0634">
        <w:rPr>
          <w:rFonts w:asciiTheme="majorHAnsi" w:hAnsiTheme="majorHAnsi" w:cstheme="majorHAnsi"/>
        </w:rPr>
        <w:t xml:space="preserve"> (16 mai 2023 ca </w:t>
      </w:r>
      <w:r w:rsidRPr="00CB0634">
        <w:rPr>
          <w:rFonts w:asciiTheme="majorHAnsi" w:hAnsiTheme="majorHAnsi" w:cstheme="majorHAnsi"/>
          <w:i/>
          <w:iCs/>
        </w:rPr>
        <w:t>ex-date</w:t>
      </w:r>
      <w:r w:rsidRPr="00CB0634">
        <w:rPr>
          <w:rFonts w:asciiTheme="majorHAnsi" w:hAnsiTheme="majorHAnsi" w:cstheme="majorHAnsi"/>
        </w:rPr>
        <w:t>) pentru identificarea acționarilor asupra cărora se vor răsfrânge efectele hotărârilor adoptate de către AGOA, în conformitate cu prevederile art. 87 din Legea nr. 24/2017 privind emitenții de instrumente financiare si operațiuni de piață, republicată.</w:t>
      </w:r>
    </w:p>
    <w:p w14:paraId="179A637F" w14:textId="3B4FD236" w:rsidR="00CB0634" w:rsidRPr="00CB0634" w:rsidRDefault="00CB0634" w:rsidP="00CF0F1A">
      <w:pPr>
        <w:tabs>
          <w:tab w:val="left" w:pos="360"/>
        </w:tabs>
        <w:spacing w:after="0"/>
        <w:jc w:val="both"/>
        <w:rPr>
          <w:rFonts w:asciiTheme="majorHAnsi" w:hAnsiTheme="majorHAnsi" w:cstheme="majorHAnsi"/>
          <w:i/>
          <w:iCs/>
        </w:rPr>
      </w:pPr>
    </w:p>
    <w:p w14:paraId="3BF94062" w14:textId="77777777" w:rsidR="00CB0634" w:rsidRPr="00CB0634" w:rsidRDefault="00CB0634" w:rsidP="00CB0634">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0040408E" w14:textId="77777777" w:rsidR="00CB0634" w:rsidRPr="00CB0634" w:rsidRDefault="00CB0634" w:rsidP="00CF0F1A">
      <w:pPr>
        <w:tabs>
          <w:tab w:val="left" w:pos="360"/>
        </w:tabs>
        <w:spacing w:after="0"/>
        <w:jc w:val="both"/>
        <w:rPr>
          <w:rFonts w:asciiTheme="majorHAnsi" w:hAnsiTheme="majorHAnsi" w:cstheme="majorHAnsi"/>
        </w:rPr>
      </w:pPr>
    </w:p>
    <w:p w14:paraId="101D1046" w14:textId="5127410D" w:rsidR="00CB0634" w:rsidRDefault="00CB0634" w:rsidP="00CF0F1A">
      <w:pPr>
        <w:tabs>
          <w:tab w:val="left" w:pos="360"/>
        </w:tabs>
        <w:spacing w:after="0"/>
        <w:jc w:val="both"/>
        <w:rPr>
          <w:rFonts w:asciiTheme="majorHAnsi" w:hAnsiTheme="majorHAnsi" w:cstheme="majorHAnsi"/>
        </w:rPr>
      </w:pPr>
      <w:r w:rsidRPr="00CB0634">
        <w:rPr>
          <w:rFonts w:asciiTheme="majorHAnsi" w:hAnsiTheme="majorHAnsi" w:cstheme="majorHAnsi"/>
        </w:rPr>
        <w:t xml:space="preserve">Art. </w:t>
      </w:r>
      <w:r w:rsidR="00B143E7">
        <w:rPr>
          <w:rFonts w:asciiTheme="majorHAnsi" w:hAnsiTheme="majorHAnsi" w:cstheme="majorHAnsi"/>
        </w:rPr>
        <w:t>7</w:t>
      </w:r>
      <w:r w:rsidRPr="00CB0634">
        <w:rPr>
          <w:rFonts w:asciiTheme="majorHAnsi" w:hAnsiTheme="majorHAnsi" w:cstheme="majorHAnsi"/>
        </w:rPr>
        <w:t>. Se aprobă mandatarea domnului Mugurel Gabriel Ionel în calitate de reprezentant legal al Societății, cu drept de subdelegare/substituire, pentru semnarea hotărârii AGOA, în numele și pe seama tuturor acționarilor prezenți la Adunare, pentru implementarea hotărârilor luate în cadrul AGOA, precum și pentru îndeplinirea tuturor procedurilor și formalităților necesare în vederea depunerii și înregistrării Hotărârii AGOA la ONRC și publicării acesteia în Monitorul Oficial al României, partea a IV-a.</w:t>
      </w:r>
    </w:p>
    <w:p w14:paraId="4713FBF0" w14:textId="64B50A5D" w:rsidR="004B1E3A" w:rsidRDefault="004B1E3A" w:rsidP="00CF0F1A">
      <w:pPr>
        <w:tabs>
          <w:tab w:val="left" w:pos="360"/>
        </w:tabs>
        <w:spacing w:after="0"/>
        <w:jc w:val="both"/>
        <w:rPr>
          <w:rFonts w:asciiTheme="majorHAnsi" w:hAnsiTheme="majorHAnsi" w:cstheme="majorHAnsi"/>
        </w:rPr>
      </w:pPr>
    </w:p>
    <w:p w14:paraId="2324D249" w14:textId="46B0AA07" w:rsidR="004B1E3A" w:rsidRPr="004B1E3A" w:rsidRDefault="004B1E3A" w:rsidP="004B1E3A">
      <w:pPr>
        <w:spacing w:before="120" w:after="240"/>
        <w:jc w:val="both"/>
        <w:rPr>
          <w:rFonts w:asciiTheme="majorHAnsi" w:hAnsiTheme="majorHAnsi" w:cstheme="majorHAnsi"/>
          <w:szCs w:val="24"/>
        </w:rPr>
      </w:pPr>
      <w:r w:rsidRPr="004B1E3A">
        <w:rPr>
          <w:rFonts w:asciiTheme="majorHAnsi" w:hAnsiTheme="majorHAnsi" w:cstheme="majorHAnsi"/>
          <w:szCs w:val="24"/>
        </w:rPr>
        <w:t xml:space="preserve">Prezenta Hotărâre a fost redactată și semnată </w:t>
      </w:r>
      <w:r>
        <w:rPr>
          <w:rFonts w:asciiTheme="majorHAnsi" w:hAnsiTheme="majorHAnsi" w:cstheme="majorHAnsi"/>
          <w:szCs w:val="24"/>
        </w:rPr>
        <w:t xml:space="preserve"> </w:t>
      </w:r>
      <w:r w:rsidRPr="004B1E3A">
        <w:rPr>
          <w:rFonts w:asciiTheme="majorHAnsi" w:hAnsiTheme="majorHAnsi" w:cstheme="majorHAnsi"/>
          <w:szCs w:val="24"/>
        </w:rPr>
        <w:t>în [•] exemplare originale, fiecare având un număr de [•]  pagini, astăzi [2</w:t>
      </w:r>
      <w:r>
        <w:rPr>
          <w:rFonts w:asciiTheme="majorHAnsi" w:hAnsiTheme="majorHAnsi" w:cstheme="majorHAnsi"/>
          <w:szCs w:val="24"/>
        </w:rPr>
        <w:t>6</w:t>
      </w:r>
      <w:r w:rsidRPr="004B1E3A">
        <w:rPr>
          <w:rFonts w:asciiTheme="majorHAnsi" w:hAnsiTheme="majorHAnsi" w:cstheme="majorHAnsi"/>
          <w:szCs w:val="24"/>
        </w:rPr>
        <w:t>.04.2023]/[2</w:t>
      </w:r>
      <w:r>
        <w:rPr>
          <w:rFonts w:asciiTheme="majorHAnsi" w:hAnsiTheme="majorHAnsi" w:cstheme="majorHAnsi"/>
          <w:szCs w:val="24"/>
        </w:rPr>
        <w:t>7</w:t>
      </w:r>
      <w:r w:rsidRPr="004B1E3A">
        <w:rPr>
          <w:rFonts w:asciiTheme="majorHAnsi" w:hAnsiTheme="majorHAnsi" w:cstheme="majorHAnsi"/>
          <w:szCs w:val="24"/>
        </w:rPr>
        <w:t>.04.2023].</w:t>
      </w:r>
    </w:p>
    <w:p w14:paraId="56A3EFB8" w14:textId="77777777" w:rsidR="004B1E3A" w:rsidRPr="004B1E3A" w:rsidRDefault="004B1E3A" w:rsidP="004B1E3A">
      <w:pPr>
        <w:widowControl w:val="0"/>
        <w:spacing w:before="4" w:after="0" w:line="160" w:lineRule="exact"/>
        <w:rPr>
          <w:rFonts w:asciiTheme="majorHAnsi" w:eastAsia="Calibri" w:hAnsiTheme="majorHAnsi" w:cstheme="majorHAnsi"/>
          <w:sz w:val="16"/>
          <w:szCs w:val="16"/>
        </w:rPr>
      </w:pPr>
    </w:p>
    <w:p w14:paraId="6A303E55" w14:textId="77777777" w:rsidR="004B1E3A" w:rsidRPr="004B1E3A" w:rsidRDefault="004B1E3A" w:rsidP="004B1E3A">
      <w:pPr>
        <w:widowControl w:val="0"/>
        <w:tabs>
          <w:tab w:val="left" w:pos="6619"/>
        </w:tabs>
        <w:spacing w:after="0" w:line="240" w:lineRule="auto"/>
        <w:outlineLvl w:val="0"/>
        <w:rPr>
          <w:rFonts w:asciiTheme="majorHAnsi" w:eastAsia="Calibri" w:hAnsiTheme="majorHAnsi" w:cstheme="majorHAnsi"/>
        </w:rPr>
      </w:pPr>
    </w:p>
    <w:p w14:paraId="57D43093" w14:textId="42B6F1DC" w:rsidR="004B1E3A" w:rsidRPr="004B1E3A" w:rsidRDefault="004B1E3A" w:rsidP="004B1E3A">
      <w:pPr>
        <w:widowControl w:val="0"/>
        <w:tabs>
          <w:tab w:val="left" w:pos="6619"/>
        </w:tabs>
        <w:spacing w:after="0" w:line="240" w:lineRule="auto"/>
        <w:outlineLvl w:val="0"/>
        <w:rPr>
          <w:rFonts w:asciiTheme="majorHAnsi" w:eastAsia="Times New Roman" w:hAnsiTheme="majorHAnsi" w:cstheme="majorHAnsi"/>
        </w:rPr>
      </w:pPr>
      <w:proofErr w:type="spellStart"/>
      <w:r w:rsidRPr="004B1E3A">
        <w:rPr>
          <w:rFonts w:asciiTheme="majorHAnsi" w:eastAsia="Times New Roman" w:hAnsiTheme="majorHAnsi" w:cstheme="majorHAnsi"/>
          <w:b/>
          <w:bCs/>
          <w:spacing w:val="-1"/>
        </w:rPr>
        <w:t>Preşedinte</w:t>
      </w:r>
      <w:proofErr w:type="spellEnd"/>
      <w:r w:rsidRPr="004B1E3A">
        <w:rPr>
          <w:rFonts w:asciiTheme="majorHAnsi" w:eastAsia="Times New Roman" w:hAnsiTheme="majorHAnsi" w:cstheme="majorHAnsi"/>
          <w:b/>
          <w:bCs/>
          <w:spacing w:val="-1"/>
        </w:rPr>
        <w:t xml:space="preserve">   </w:t>
      </w:r>
      <w:r w:rsidR="00B143E7">
        <w:rPr>
          <w:rFonts w:asciiTheme="majorHAnsi" w:eastAsia="Times New Roman" w:hAnsiTheme="majorHAnsi" w:cstheme="majorHAnsi"/>
          <w:b/>
          <w:bCs/>
          <w:spacing w:val="-1"/>
        </w:rPr>
        <w:t>AGOA</w:t>
      </w:r>
      <w:r w:rsidRPr="004B1E3A">
        <w:rPr>
          <w:rFonts w:asciiTheme="majorHAnsi" w:eastAsia="Times New Roman" w:hAnsiTheme="majorHAnsi" w:cstheme="majorHAnsi"/>
          <w:b/>
          <w:bCs/>
          <w:spacing w:val="-1"/>
        </w:rPr>
        <w:t xml:space="preserve">                                                                                                              </w:t>
      </w:r>
      <w:r w:rsidRPr="004B1E3A">
        <w:rPr>
          <w:rFonts w:asciiTheme="majorHAnsi" w:eastAsia="Times New Roman" w:hAnsiTheme="majorHAnsi" w:cstheme="majorHAnsi"/>
          <w:b/>
          <w:bCs/>
          <w:spacing w:val="-1"/>
        </w:rPr>
        <w:tab/>
        <w:t>Secretar</w:t>
      </w:r>
      <w:r w:rsidR="00B143E7">
        <w:rPr>
          <w:rFonts w:asciiTheme="majorHAnsi" w:eastAsia="Times New Roman" w:hAnsiTheme="majorHAnsi" w:cstheme="majorHAnsi"/>
          <w:b/>
          <w:bCs/>
          <w:spacing w:val="-1"/>
        </w:rPr>
        <w:t xml:space="preserve"> AGOA</w:t>
      </w:r>
    </w:p>
    <w:p w14:paraId="02584E40" w14:textId="77777777" w:rsidR="004B1E3A" w:rsidRPr="004B1E3A" w:rsidRDefault="004B1E3A" w:rsidP="004B1E3A">
      <w:pPr>
        <w:widowControl w:val="0"/>
        <w:tabs>
          <w:tab w:val="left" w:pos="8057"/>
        </w:tabs>
        <w:spacing w:before="126" w:after="0" w:line="240" w:lineRule="auto"/>
        <w:rPr>
          <w:rFonts w:asciiTheme="majorHAnsi" w:eastAsia="Times New Roman" w:hAnsiTheme="majorHAnsi" w:cstheme="majorHAnsi"/>
        </w:rPr>
      </w:pPr>
      <w:r w:rsidRPr="004B1E3A">
        <w:rPr>
          <w:rFonts w:asciiTheme="majorHAnsi" w:eastAsia="Times New Roman" w:hAnsiTheme="majorHAnsi" w:cstheme="majorHAnsi"/>
        </w:rPr>
        <w:t>[•]</w:t>
      </w:r>
      <w:r w:rsidRPr="004B1E3A">
        <w:rPr>
          <w:rFonts w:asciiTheme="majorHAnsi" w:eastAsia="Times New Roman" w:hAnsiTheme="majorHAnsi" w:cstheme="majorHAnsi"/>
        </w:rPr>
        <w:tab/>
      </w:r>
      <w:r w:rsidRPr="004B1E3A">
        <w:rPr>
          <w:rFonts w:asciiTheme="majorHAnsi" w:eastAsia="Times New Roman" w:hAnsiTheme="majorHAnsi" w:cstheme="majorHAnsi"/>
          <w:w w:val="95"/>
        </w:rPr>
        <w:t>[</w:t>
      </w:r>
      <w:r w:rsidRPr="004B1E3A">
        <w:rPr>
          <w:rFonts w:asciiTheme="majorHAnsi" w:eastAsia="Times New Roman" w:hAnsiTheme="majorHAnsi" w:cstheme="majorHAnsi"/>
          <w:spacing w:val="-42"/>
          <w:w w:val="95"/>
        </w:rPr>
        <w:t xml:space="preserve"> </w:t>
      </w:r>
      <w:r w:rsidRPr="004B1E3A">
        <w:rPr>
          <w:rFonts w:asciiTheme="majorHAnsi" w:eastAsia="Times New Roman" w:hAnsiTheme="majorHAnsi" w:cstheme="majorHAnsi"/>
          <w:w w:val="95"/>
        </w:rPr>
        <w:t>•]</w:t>
      </w:r>
      <w:r w:rsidRPr="004B1E3A">
        <w:rPr>
          <w:rFonts w:asciiTheme="majorHAnsi" w:eastAsia="Times New Roman" w:hAnsiTheme="majorHAnsi" w:cstheme="majorHAnsi"/>
        </w:rPr>
        <w:t xml:space="preserve"> </w:t>
      </w:r>
    </w:p>
    <w:p w14:paraId="10BE8E5F" w14:textId="77777777" w:rsidR="004B1E3A" w:rsidRPr="004B1E3A" w:rsidRDefault="004B1E3A" w:rsidP="004B1E3A">
      <w:pPr>
        <w:pStyle w:val="ListParagraph"/>
        <w:ind w:left="0"/>
        <w:rPr>
          <w:rFonts w:asciiTheme="majorHAnsi" w:hAnsiTheme="majorHAnsi" w:cstheme="majorHAnsi"/>
          <w:szCs w:val="24"/>
        </w:rPr>
      </w:pPr>
    </w:p>
    <w:bookmarkEnd w:id="0"/>
    <w:p w14:paraId="105B8C5F" w14:textId="77777777" w:rsidR="004B1E3A" w:rsidRPr="004B1E3A" w:rsidRDefault="004B1E3A" w:rsidP="00CF0F1A">
      <w:pPr>
        <w:tabs>
          <w:tab w:val="left" w:pos="360"/>
        </w:tabs>
        <w:spacing w:after="0"/>
        <w:jc w:val="both"/>
        <w:rPr>
          <w:rFonts w:asciiTheme="majorHAnsi" w:hAnsiTheme="majorHAnsi" w:cstheme="majorHAnsi"/>
          <w:szCs w:val="24"/>
        </w:rPr>
      </w:pPr>
    </w:p>
    <w:sectPr w:rsidR="004B1E3A" w:rsidRPr="004B1E3A" w:rsidSect="00193FF8">
      <w:headerReference w:type="default" r:id="rId7"/>
      <w:footerReference w:type="default" r:id="rId8"/>
      <w:pgSz w:w="12240" w:h="15840"/>
      <w:pgMar w:top="1440" w:right="990" w:bottom="72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69E7" w14:textId="77777777" w:rsidR="00814F21" w:rsidRDefault="00814F21" w:rsidP="00CF0F1A">
      <w:pPr>
        <w:spacing w:after="0" w:line="240" w:lineRule="auto"/>
      </w:pPr>
      <w:r>
        <w:separator/>
      </w:r>
    </w:p>
  </w:endnote>
  <w:endnote w:type="continuationSeparator" w:id="0">
    <w:p w14:paraId="67B5ED51" w14:textId="77777777" w:rsidR="00814F21" w:rsidRDefault="00814F21" w:rsidP="00CF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30360"/>
      <w:docPartObj>
        <w:docPartGallery w:val="Page Numbers (Bottom of Page)"/>
        <w:docPartUnique/>
      </w:docPartObj>
    </w:sdtPr>
    <w:sdtEndPr>
      <w:rPr>
        <w:noProof/>
      </w:rPr>
    </w:sdtEndPr>
    <w:sdtContent>
      <w:p w14:paraId="70D75554" w14:textId="06CAF6D1" w:rsidR="00CB0634" w:rsidRDefault="00CB0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C9E04" w14:textId="77777777" w:rsidR="00CB0634" w:rsidRDefault="00CB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CB47" w14:textId="77777777" w:rsidR="00814F21" w:rsidRDefault="00814F21" w:rsidP="00CF0F1A">
      <w:pPr>
        <w:spacing w:after="0" w:line="240" w:lineRule="auto"/>
      </w:pPr>
      <w:r>
        <w:separator/>
      </w:r>
    </w:p>
  </w:footnote>
  <w:footnote w:type="continuationSeparator" w:id="0">
    <w:p w14:paraId="48E63370" w14:textId="77777777" w:rsidR="00814F21" w:rsidRDefault="00814F21" w:rsidP="00CF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CEC5" w14:textId="402DFDBB" w:rsidR="00AA1FCC" w:rsidRDefault="00193FF8">
    <w:pPr>
      <w:pStyle w:val="Header"/>
    </w:pPr>
    <w:r>
      <w:rPr>
        <w:noProof/>
      </w:rPr>
      <w:drawing>
        <wp:anchor distT="0" distB="0" distL="114300" distR="114300" simplePos="0" relativeHeight="251658240" behindDoc="0" locked="0" layoutInCell="1" allowOverlap="1" wp14:anchorId="29DB9094" wp14:editId="67108EBA">
          <wp:simplePos x="0" y="0"/>
          <wp:positionH relativeFrom="column">
            <wp:posOffset>-707390</wp:posOffset>
          </wp:positionH>
          <wp:positionV relativeFrom="paragraph">
            <wp:posOffset>-332740</wp:posOffset>
          </wp:positionV>
          <wp:extent cx="1362075" cy="14287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6AAEBCA4" w14:textId="2BCAC2F5" w:rsidR="00C5639A" w:rsidRDefault="00C5639A" w:rsidP="00C5639A">
    <w:pPr>
      <w:pStyle w:val="Header"/>
      <w:jc w:val="center"/>
    </w:pPr>
    <w:r w:rsidRPr="00C5639A">
      <w:rPr>
        <w:b/>
        <w:bCs/>
      </w:rPr>
      <w:t>CHROMOSOME DYNAMICS SA</w:t>
    </w:r>
    <w:r>
      <w:t>,</w:t>
    </w:r>
  </w:p>
  <w:p w14:paraId="5607FD67" w14:textId="1252B99F" w:rsidR="00AA1FCC" w:rsidRDefault="00C5639A" w:rsidP="00C5639A">
    <w:pPr>
      <w:pStyle w:val="Header"/>
      <w:tabs>
        <w:tab w:val="clear" w:pos="9026"/>
        <w:tab w:val="right" w:pos="9360"/>
      </w:tabs>
    </w:pPr>
    <w:r>
      <w:t xml:space="preserve">CUI 42234198, J40/1800/2020, Drumul Valea Furcii, nr. 156-158, sc.1, ap.24, sector 6, București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5E80C5C8" w14:textId="277B4C61" w:rsidR="00AA1FCC" w:rsidRDefault="00AA1FCC">
    <w:pPr>
      <w:pStyle w:val="Header"/>
    </w:pPr>
  </w:p>
  <w:p w14:paraId="70336DF0" w14:textId="57743A51" w:rsidR="00CF0F1A" w:rsidRDefault="00CF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A81"/>
    <w:multiLevelType w:val="hybridMultilevel"/>
    <w:tmpl w:val="36F4A4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005E91"/>
    <w:multiLevelType w:val="hybridMultilevel"/>
    <w:tmpl w:val="DFBAA216"/>
    <w:lvl w:ilvl="0" w:tplc="D1A095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C4007"/>
    <w:multiLevelType w:val="hybridMultilevel"/>
    <w:tmpl w:val="1352895C"/>
    <w:lvl w:ilvl="0" w:tplc="A0ECFCF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826212">
    <w:abstractNumId w:val="0"/>
  </w:num>
  <w:num w:numId="2" w16cid:durableId="722367564">
    <w:abstractNumId w:val="2"/>
  </w:num>
  <w:num w:numId="3" w16cid:durableId="204636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A"/>
    <w:rsid w:val="00000FDC"/>
    <w:rsid w:val="000036B4"/>
    <w:rsid w:val="00023F58"/>
    <w:rsid w:val="000D5664"/>
    <w:rsid w:val="00193FF8"/>
    <w:rsid w:val="001D4071"/>
    <w:rsid w:val="00247C93"/>
    <w:rsid w:val="002568BD"/>
    <w:rsid w:val="0027568C"/>
    <w:rsid w:val="003208A2"/>
    <w:rsid w:val="003410E0"/>
    <w:rsid w:val="00360648"/>
    <w:rsid w:val="004219BC"/>
    <w:rsid w:val="004B1E3A"/>
    <w:rsid w:val="0051114C"/>
    <w:rsid w:val="0052179A"/>
    <w:rsid w:val="005336CE"/>
    <w:rsid w:val="00660EC6"/>
    <w:rsid w:val="00684B42"/>
    <w:rsid w:val="0069229A"/>
    <w:rsid w:val="006F59B8"/>
    <w:rsid w:val="0076360D"/>
    <w:rsid w:val="00780485"/>
    <w:rsid w:val="007D36DB"/>
    <w:rsid w:val="00814F21"/>
    <w:rsid w:val="008539F1"/>
    <w:rsid w:val="00882128"/>
    <w:rsid w:val="008855AF"/>
    <w:rsid w:val="0089352F"/>
    <w:rsid w:val="00A67B02"/>
    <w:rsid w:val="00A85901"/>
    <w:rsid w:val="00AA1AC3"/>
    <w:rsid w:val="00AA1FCC"/>
    <w:rsid w:val="00AC6C36"/>
    <w:rsid w:val="00AE4F61"/>
    <w:rsid w:val="00B143E7"/>
    <w:rsid w:val="00B424AE"/>
    <w:rsid w:val="00B7781C"/>
    <w:rsid w:val="00B8282B"/>
    <w:rsid w:val="00C1505B"/>
    <w:rsid w:val="00C20BDB"/>
    <w:rsid w:val="00C5639A"/>
    <w:rsid w:val="00CB0634"/>
    <w:rsid w:val="00CF0F1A"/>
    <w:rsid w:val="00CF2FF6"/>
    <w:rsid w:val="00D14D31"/>
    <w:rsid w:val="00D45D7B"/>
    <w:rsid w:val="00D9341C"/>
    <w:rsid w:val="00DD3440"/>
    <w:rsid w:val="00E0677B"/>
    <w:rsid w:val="00E42C59"/>
    <w:rsid w:val="00EA27F2"/>
    <w:rsid w:val="00F25F0C"/>
    <w:rsid w:val="00F9440E"/>
    <w:rsid w:val="00FB46F0"/>
    <w:rsid w:val="00F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E4CDBD"/>
  <w15:docId w15:val="{EB467C87-4FA4-4631-98CB-523FA94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1A"/>
    <w:rPr>
      <w:lang w:val="ro-RO"/>
    </w:rPr>
  </w:style>
  <w:style w:type="paragraph" w:styleId="Footer">
    <w:name w:val="footer"/>
    <w:basedOn w:val="Normal"/>
    <w:link w:val="FooterChar"/>
    <w:uiPriority w:val="99"/>
    <w:unhideWhenUsed/>
    <w:rsid w:val="00CF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1A"/>
    <w:rPr>
      <w:lang w:val="ro-RO"/>
    </w:rPr>
  </w:style>
  <w:style w:type="paragraph" w:styleId="ListParagraph">
    <w:name w:val="List Paragraph"/>
    <w:basedOn w:val="Normal"/>
    <w:link w:val="ListParagraphChar"/>
    <w:uiPriority w:val="34"/>
    <w:qFormat/>
    <w:rsid w:val="00CF0F1A"/>
    <w:pPr>
      <w:ind w:left="720"/>
      <w:contextualSpacing/>
    </w:pPr>
  </w:style>
  <w:style w:type="table" w:styleId="TableGrid">
    <w:name w:val="Table Grid"/>
    <w:basedOn w:val="TableNormal"/>
    <w:uiPriority w:val="39"/>
    <w:rsid w:val="006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29A"/>
    <w:rPr>
      <w:sz w:val="16"/>
      <w:szCs w:val="16"/>
    </w:rPr>
  </w:style>
  <w:style w:type="paragraph" w:styleId="CommentText">
    <w:name w:val="annotation text"/>
    <w:basedOn w:val="Normal"/>
    <w:link w:val="CommentTextChar"/>
    <w:uiPriority w:val="99"/>
    <w:unhideWhenUsed/>
    <w:rsid w:val="0069229A"/>
    <w:pPr>
      <w:spacing w:line="240" w:lineRule="auto"/>
    </w:pPr>
    <w:rPr>
      <w:sz w:val="20"/>
      <w:szCs w:val="20"/>
    </w:rPr>
  </w:style>
  <w:style w:type="character" w:customStyle="1" w:styleId="CommentTextChar">
    <w:name w:val="Comment Text Char"/>
    <w:basedOn w:val="DefaultParagraphFont"/>
    <w:link w:val="CommentText"/>
    <w:uiPriority w:val="99"/>
    <w:rsid w:val="0069229A"/>
    <w:rPr>
      <w:sz w:val="20"/>
      <w:szCs w:val="20"/>
      <w:lang w:val="ro-RO"/>
    </w:rPr>
  </w:style>
  <w:style w:type="paragraph" w:styleId="CommentSubject">
    <w:name w:val="annotation subject"/>
    <w:basedOn w:val="CommentText"/>
    <w:next w:val="CommentText"/>
    <w:link w:val="CommentSubjectChar"/>
    <w:uiPriority w:val="99"/>
    <w:semiHidden/>
    <w:unhideWhenUsed/>
    <w:rsid w:val="0069229A"/>
    <w:rPr>
      <w:b/>
      <w:bCs/>
    </w:rPr>
  </w:style>
  <w:style w:type="character" w:customStyle="1" w:styleId="CommentSubjectChar">
    <w:name w:val="Comment Subject Char"/>
    <w:basedOn w:val="CommentTextChar"/>
    <w:link w:val="CommentSubject"/>
    <w:uiPriority w:val="99"/>
    <w:semiHidden/>
    <w:rsid w:val="0069229A"/>
    <w:rPr>
      <w:b/>
      <w:bCs/>
      <w:sz w:val="20"/>
      <w:szCs w:val="20"/>
      <w:lang w:val="ro-RO"/>
    </w:rPr>
  </w:style>
  <w:style w:type="table" w:customStyle="1" w:styleId="TableGrid0">
    <w:name w:val="TableGrid"/>
    <w:rsid w:val="000036B4"/>
    <w:pPr>
      <w:spacing w:after="0" w:line="240" w:lineRule="auto"/>
    </w:pPr>
    <w:rPr>
      <w:rFonts w:asciiTheme="minorHAnsi" w:eastAsiaTheme="minorEastAsia" w:hAnsiTheme="minorHAnsi"/>
      <w:sz w:val="22"/>
      <w:lang w:val="ro-RO" w:eastAsia="ro-RO"/>
    </w:rPr>
    <w:tblPr>
      <w:tblCellMar>
        <w:top w:w="0" w:type="dxa"/>
        <w:left w:w="0" w:type="dxa"/>
        <w:bottom w:w="0" w:type="dxa"/>
        <w:right w:w="0" w:type="dxa"/>
      </w:tblCellMar>
    </w:tblPr>
  </w:style>
  <w:style w:type="paragraph" w:styleId="NormalWeb">
    <w:name w:val="Normal (Web)"/>
    <w:basedOn w:val="Normal"/>
    <w:uiPriority w:val="99"/>
    <w:semiHidden/>
    <w:unhideWhenUsed/>
    <w:rsid w:val="0089352F"/>
    <w:pPr>
      <w:spacing w:before="100" w:beforeAutospacing="1" w:after="100" w:afterAutospacing="1" w:line="240" w:lineRule="auto"/>
    </w:pPr>
    <w:rPr>
      <w:rFonts w:ascii="Calibri" w:hAnsi="Calibri" w:cs="Calibri"/>
      <w:sz w:val="22"/>
      <w:lang w:eastAsia="ro-RO"/>
    </w:rPr>
  </w:style>
  <w:style w:type="paragraph" w:styleId="BalloonText">
    <w:name w:val="Balloon Text"/>
    <w:basedOn w:val="Normal"/>
    <w:link w:val="BalloonTextChar"/>
    <w:uiPriority w:val="99"/>
    <w:semiHidden/>
    <w:unhideWhenUsed/>
    <w:rsid w:val="00D1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31"/>
    <w:rPr>
      <w:rFonts w:ascii="Tahoma" w:hAnsi="Tahoma" w:cs="Tahoma"/>
      <w:sz w:val="16"/>
      <w:szCs w:val="16"/>
      <w:lang w:val="ro-RO"/>
    </w:rPr>
  </w:style>
  <w:style w:type="character" w:styleId="Hyperlink">
    <w:name w:val="Hyperlink"/>
    <w:basedOn w:val="DefaultParagraphFont"/>
    <w:uiPriority w:val="99"/>
    <w:unhideWhenUsed/>
    <w:rsid w:val="00C5639A"/>
    <w:rPr>
      <w:color w:val="0563C1" w:themeColor="hyperlink"/>
      <w:u w:val="single"/>
    </w:rPr>
  </w:style>
  <w:style w:type="character" w:styleId="UnresolvedMention">
    <w:name w:val="Unresolved Mention"/>
    <w:basedOn w:val="DefaultParagraphFont"/>
    <w:uiPriority w:val="99"/>
    <w:semiHidden/>
    <w:unhideWhenUsed/>
    <w:rsid w:val="00C5639A"/>
    <w:rPr>
      <w:color w:val="605E5C"/>
      <w:shd w:val="clear" w:color="auto" w:fill="E1DFDD"/>
    </w:rPr>
  </w:style>
  <w:style w:type="table" w:styleId="PlainTable1">
    <w:name w:val="Plain Table 1"/>
    <w:basedOn w:val="TableNormal"/>
    <w:uiPriority w:val="41"/>
    <w:rsid w:val="0027568C"/>
    <w:pPr>
      <w:spacing w:after="0" w:line="240" w:lineRule="auto"/>
    </w:pPr>
    <w:rPr>
      <w:rFonts w:asciiTheme="minorHAnsi" w:hAnsiTheme="minorHAnsi"/>
      <w:sz w:val="22"/>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193FF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405">
      <w:bodyDiv w:val="1"/>
      <w:marLeft w:val="0"/>
      <w:marRight w:val="0"/>
      <w:marTop w:val="0"/>
      <w:marBottom w:val="0"/>
      <w:divBdr>
        <w:top w:val="none" w:sz="0" w:space="0" w:color="auto"/>
        <w:left w:val="none" w:sz="0" w:space="0" w:color="auto"/>
        <w:bottom w:val="none" w:sz="0" w:space="0" w:color="auto"/>
        <w:right w:val="none" w:sz="0" w:space="0" w:color="auto"/>
      </w:divBdr>
    </w:div>
    <w:div w:id="15780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Sorina Lazar</dc:creator>
  <cp:lastModifiedBy>Irina Anghel</cp:lastModifiedBy>
  <cp:revision>4</cp:revision>
  <dcterms:created xsi:type="dcterms:W3CDTF">2023-03-23T08:49:00Z</dcterms:created>
  <dcterms:modified xsi:type="dcterms:W3CDTF">2023-03-23T09:35:00Z</dcterms:modified>
</cp:coreProperties>
</file>